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9F0" w:rsidRPr="000029F0" w:rsidRDefault="000029F0" w:rsidP="000029F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1D4998"/>
          <w:sz w:val="78"/>
          <w:szCs w:val="78"/>
          <w:lang w:eastAsia="cs-CZ"/>
        </w:rPr>
      </w:pPr>
      <w:r w:rsidRPr="000029F0">
        <w:rPr>
          <w:rFonts w:ascii="Arial" w:eastAsia="Times New Roman" w:hAnsi="Arial" w:cs="Arial"/>
          <w:color w:val="1D4998"/>
          <w:sz w:val="78"/>
          <w:szCs w:val="78"/>
          <w:lang w:eastAsia="cs-CZ"/>
        </w:rPr>
        <w:t>Děkujeme partnerům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2686"/>
        <w:gridCol w:w="857"/>
      </w:tblGrid>
      <w:tr w:rsidR="000029F0" w:rsidRPr="000029F0" w:rsidTr="000029F0">
        <w:trPr>
          <w:tblHeader/>
          <w:jc w:val="center"/>
        </w:trPr>
        <w:tc>
          <w:tcPr>
            <w:tcW w:w="4111" w:type="dxa"/>
            <w:tcBorders>
              <w:top w:val="nil"/>
              <w:bottom w:val="single" w:sz="6" w:space="0" w:color="AEB1BE"/>
            </w:tcBorders>
            <w:shd w:val="clear" w:color="auto" w:fill="FFFFFF"/>
            <w:tcMar>
              <w:top w:w="195" w:type="dxa"/>
              <w:left w:w="360" w:type="dxa"/>
              <w:bottom w:w="195" w:type="dxa"/>
              <w:right w:w="360" w:type="dxa"/>
            </w:tcMar>
            <w:vAlign w:val="bottom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Od</w:t>
            </w:r>
          </w:p>
        </w:tc>
        <w:tc>
          <w:tcPr>
            <w:tcW w:w="1418" w:type="dxa"/>
            <w:tcBorders>
              <w:top w:val="nil"/>
              <w:bottom w:val="single" w:sz="6" w:space="0" w:color="AEB1BE"/>
            </w:tcBorders>
            <w:shd w:val="clear" w:color="auto" w:fill="FFFFFF"/>
            <w:tcMar>
              <w:top w:w="195" w:type="dxa"/>
              <w:left w:w="360" w:type="dxa"/>
              <w:bottom w:w="195" w:type="dxa"/>
              <w:right w:w="360" w:type="dxa"/>
            </w:tcMar>
            <w:vAlign w:val="bottom"/>
            <w:hideMark/>
          </w:tcPr>
          <w:p w:rsidR="000029F0" w:rsidRPr="000029F0" w:rsidRDefault="000029F0" w:rsidP="0000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Druh</w:t>
            </w:r>
          </w:p>
        </w:tc>
        <w:tc>
          <w:tcPr>
            <w:tcW w:w="2686" w:type="dxa"/>
            <w:tcBorders>
              <w:top w:val="nil"/>
              <w:bottom w:val="single" w:sz="6" w:space="0" w:color="AEB1BE"/>
            </w:tcBorders>
            <w:shd w:val="clear" w:color="auto" w:fill="FFFFFF"/>
            <w:tcMar>
              <w:top w:w="195" w:type="dxa"/>
              <w:left w:w="360" w:type="dxa"/>
              <w:bottom w:w="195" w:type="dxa"/>
              <w:right w:w="360" w:type="dxa"/>
            </w:tcMar>
            <w:vAlign w:val="bottom"/>
            <w:hideMark/>
          </w:tcPr>
          <w:p w:rsidR="000029F0" w:rsidRPr="000029F0" w:rsidRDefault="000029F0" w:rsidP="0000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0" w:type="auto"/>
            <w:tcBorders>
              <w:top w:val="nil"/>
              <w:bottom w:val="single" w:sz="6" w:space="0" w:color="AEB1BE"/>
            </w:tcBorders>
            <w:shd w:val="clear" w:color="auto" w:fill="FFFFFF"/>
            <w:tcMar>
              <w:top w:w="195" w:type="dxa"/>
              <w:left w:w="360" w:type="dxa"/>
              <w:bottom w:w="195" w:type="dxa"/>
              <w:right w:w="360" w:type="dxa"/>
            </w:tcMar>
            <w:vAlign w:val="bottom"/>
            <w:hideMark/>
          </w:tcPr>
          <w:p w:rsidR="000029F0" w:rsidRPr="000029F0" w:rsidRDefault="000029F0" w:rsidP="0000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nil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MĚSTO Napajedla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dotace</w:t>
            </w:r>
          </w:p>
        </w:tc>
        <w:tc>
          <w:tcPr>
            <w:tcW w:w="3543" w:type="dxa"/>
            <w:gridSpan w:val="2"/>
            <w:tcBorders>
              <w:top w:val="nil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polohovací seniorská křesla GAVOTA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Ing. Ladislav Šivic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Pro potřeby klientů centra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Obec Nivnice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dotace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podpora sociální služby DZR 2019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Manda Pavel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Pro potřeby Alzheimercentra Zlín z.ú.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Neinvestiční dotace ze Sociálního fondu statutárního města Zlína pro rok 2019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dotace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Na podporu poskytování registrovaných sociálních služeb pro občany statutárního města Zlína v roce 2019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Obec Štítná nad Vláří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na péči o klienty s Alzheimerovou chorobou - 2019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Obec Jankovice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zajištění odb. služeb a péče potřebným osobám - 2019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Město Vizovice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financování provozu domova pro seniory - 2019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Obec Kněžpole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na péči o klienty s Alzheimerovou chorobou - 2019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lastRenderedPageBreak/>
              <w:t>Obec Topolná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na podporu a zkvalitnění služeb poskytovaných Alzheimercentrem Zlín z.ú.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Město Holešov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dotace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na sociální službu DZR v roce 2019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Město Slavičín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na sociální službu DZR v roce 2019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Obec Provodov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podpora sociální služby DZR 2019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Obec Veselá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podpora sociální služby DZR 2019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Obec Ratiboř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Podpora aktivit v oblasti poskytování soc. služeb 2019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Město Uherský Brod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dotace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Neinvestiční dotace na podporu centra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Město Uherské Hradiště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dotace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Účelová dotace z fondu sociální pomoci a prevence města Uherské Hradiště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statutární město Zlín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dotace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Neinvestiční dotace ze Sociálního fondu statutárního města Zlína pro rok 2018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lastRenderedPageBreak/>
              <w:t>Obec Spytihněv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Na zajištění provozu a činnosti Alzheimercentra Zlín z.ú.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Mgr. Svatava Blažková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Pro potřeby Alzheimercentra Zlín z.ú.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Ing. Ladislav Šivic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Pro potřeby Alzheimercentra Zlín z.ú.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SIAGRA s.r.o.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Pro potřeby Alzheimercentra Zlín z.ú.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MANAG invest, a.s.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Pro potřeby Alzheimercentra Zlín z.ú.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CROSS Zlín a.s.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Pro potřeby Alzheimercentra Zlín z.ú.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Fórum dárců, z.s.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grant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ČSOB pomáhá regionům 2017 - Podzimní výzva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Nadace SYNOT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grant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Nadační příspěvek k účelu: náklady spojené s pořízením polohovacích křesel pro seniory.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Podpořeno z programu Výboru dobré vůle - Nadace Olgy Havlové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grant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Vzdělávání pracovníků přímé péče v Bazální stimulaci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lastRenderedPageBreak/>
              <w:t>Continental Barum s.r.o.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Polohovací lůžka a seniorská křesla pro klienty centra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Nadační fond TESCO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grant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Snoezelen – multisenzorická relaxační místnost pro klienty s Alzheimerovou chorobou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HP TRONIC Zlín, spol. s r.o.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Pro potřeby Alzheimercentra Zlín z.ú.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Pan Karel Kouba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Pro potřeby Alzheimercentra Zlín z.ú.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Fórum dárců, z.s.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grant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Projet v rámci programu "ČSOB pomáhá regionům 2017 - Podzimní výzva"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Paní Eva Šimoníková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Pro potřeby Alzheimercentra Zlín z.ú.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Obec Huštěnovice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Na zajištění provozu a činnosti Alzheimercentra Zlín z.ú.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Paní Ivana Kocmanová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Pro potřeby klientů Alzheimercentra Zlín z.ú.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obec Ostrožská Nová Ves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dotace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Neinvestiční dotace z rozpočtu obce Ostrožská Nová Ves pro rok 2018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lastRenderedPageBreak/>
              <w:t>MUDr. Deďová Miroslava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Pro potřeby klientů Alzheimercentra Zlín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Samohýl Motor a.s.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Pro potřeby Alzheimercentra Zlín z.ú.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Mgr. Svatava Blažková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Pro potřeby Alzheimercentra zlín z.ú.</w:t>
            </w:r>
          </w:p>
        </w:tc>
      </w:tr>
      <w:tr w:rsidR="000029F0" w:rsidRPr="000029F0" w:rsidTr="000029F0">
        <w:trPr>
          <w:jc w:val="center"/>
        </w:trPr>
        <w:tc>
          <w:tcPr>
            <w:tcW w:w="4111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Ing. Jaroslav Cekota</w:t>
            </w:r>
          </w:p>
        </w:tc>
        <w:tc>
          <w:tcPr>
            <w:tcW w:w="1418" w:type="dxa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dar</w:t>
            </w:r>
          </w:p>
        </w:tc>
        <w:tc>
          <w:tcPr>
            <w:tcW w:w="3543" w:type="dxa"/>
            <w:gridSpan w:val="2"/>
            <w:tcBorders>
              <w:top w:val="single" w:sz="6" w:space="0" w:color="DEE2E6"/>
              <w:bottom w:val="single" w:sz="6" w:space="0" w:color="A7A7A7"/>
            </w:tcBorders>
            <w:shd w:val="clear" w:color="auto" w:fill="FFFFFF"/>
            <w:tcMar>
              <w:top w:w="345" w:type="dxa"/>
              <w:left w:w="360" w:type="dxa"/>
              <w:bottom w:w="345" w:type="dxa"/>
              <w:right w:w="360" w:type="dxa"/>
            </w:tcMar>
            <w:vAlign w:val="center"/>
            <w:hideMark/>
          </w:tcPr>
          <w:p w:rsidR="000029F0" w:rsidRPr="000029F0" w:rsidRDefault="000029F0" w:rsidP="0000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</w:pPr>
            <w:r w:rsidRPr="000029F0">
              <w:rPr>
                <w:rFonts w:ascii="Times New Roman" w:eastAsia="Times New Roman" w:hAnsi="Times New Roman" w:cs="Times New Roman"/>
                <w:color w:val="29293A"/>
                <w:sz w:val="24"/>
                <w:szCs w:val="24"/>
                <w:lang w:eastAsia="cs-CZ"/>
              </w:rPr>
              <w:t>Pro potřeby Alzheimercentra Zlín z.ú.</w:t>
            </w:r>
          </w:p>
        </w:tc>
      </w:tr>
    </w:tbl>
    <w:p w:rsidR="00340FBD" w:rsidRDefault="000029F0"/>
    <w:sectPr w:rsidR="0034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F0"/>
    <w:rsid w:val="000029F0"/>
    <w:rsid w:val="00604866"/>
    <w:rsid w:val="00F3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52C8F-4BC3-4F32-B1FB-8994B3B9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246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443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Zavadak</dc:creator>
  <cp:keywords/>
  <dc:description/>
  <cp:lastModifiedBy>Michal Zavadak</cp:lastModifiedBy>
  <cp:revision>1</cp:revision>
  <dcterms:created xsi:type="dcterms:W3CDTF">2019-11-17T15:24:00Z</dcterms:created>
  <dcterms:modified xsi:type="dcterms:W3CDTF">2019-11-17T15:26:00Z</dcterms:modified>
</cp:coreProperties>
</file>